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7C55C" w14:textId="77777777" w:rsidR="00D20104" w:rsidRPr="00D20104" w:rsidRDefault="00D20104" w:rsidP="00D20104">
      <w:pPr>
        <w:rPr>
          <w:lang w:val="es-ES"/>
        </w:rPr>
      </w:pPr>
      <w:r w:rsidRPr="00D20104">
        <w:rPr>
          <w:b/>
          <w:bCs/>
          <w:lang w:val="es-ES"/>
        </w:rPr>
        <w:t>Frivolidad identitaria, la comodidad de lo ajeno</w:t>
      </w:r>
    </w:p>
    <w:p w14:paraId="2ECB1AC9" w14:textId="77777777" w:rsidR="00D20104" w:rsidRPr="00D20104" w:rsidRDefault="00D20104" w:rsidP="00D20104">
      <w:pPr>
        <w:rPr>
          <w:lang w:val="es-ES"/>
        </w:rPr>
      </w:pPr>
      <w:r w:rsidRPr="00D20104">
        <w:rPr>
          <w:lang w:val="es-ES"/>
        </w:rPr>
        <w:t xml:space="preserve">Max Weber, profesor, sociólogo, economista, politólogo y filósofo alemán del siglo XIX y comienzos del XX, reflexiona sobre el desencantamiento del mundo en Occidente en relación con el capitalismo, fundamentando sus escritos en los procesos de racionalización promovidos por el calvinismo en </w:t>
      </w:r>
      <w:r w:rsidRPr="00D20104">
        <w:rPr>
          <w:i/>
          <w:iCs/>
          <w:lang w:val="es-ES"/>
        </w:rPr>
        <w:t>La ética protestante y el espíritu del capitalismo</w:t>
      </w:r>
      <w:r w:rsidRPr="00D20104">
        <w:rPr>
          <w:lang w:val="es-ES"/>
        </w:rPr>
        <w:t>, una de sus obras más reconocidas. El autor refiere a la pérdida de la búsqueda de explicaciones basadas en la tradición o en lo metafísico, bajo la lógica de acumulación capitalista, donde el trabajo y la individualización colocan al sujeto como plenamente responsable de su destino y, en efecto, de su modo de administrar, reglar y racionalizar el trabajo libre. Esta profesionalización supone una actividad abordada con esfuerzo, especificidad y creciente especialización: “La intelectualización y la racionalización crecientes no significan en consecuencia un creciente conocimiento general de las condiciones bajo las cuales se vive. Significa en cambio algo distinto: el saber o el creer que si se quiere se puede, que no hay en principio ninguna fuerza misteriosa e imprevisible que interfiera, que antes bien todas las cosas pueden ser dominadas por el cálculo”.</w:t>
      </w:r>
    </w:p>
    <w:p w14:paraId="40CF6BFC" w14:textId="77777777" w:rsidR="00D20104" w:rsidRPr="00D20104" w:rsidRDefault="00D20104" w:rsidP="00D20104">
      <w:pPr>
        <w:rPr>
          <w:lang w:val="es-ES"/>
        </w:rPr>
      </w:pPr>
      <w:r w:rsidRPr="00D20104">
        <w:rPr>
          <w:lang w:val="es-ES"/>
        </w:rPr>
        <w:t>Esta breve reseña sobre los escritos de Weber sintetiza su visión centrada en principios del protestantismo calvinista, vinculada a una de las múltiples formas de interpretar la lógica capitalista, sin desestimar el desarrollo humano y su capacidad transformadora. En esta perspectiva, la racionalización emerge del cálculo, de los resultados, y de un sistema de acumulación que invita a pensar el comportamiento del sujeto como un ente funcional, despersonalizado y constreñido por una estructura jerarquizada, verticalista y demandante. Estructura que, además, ha logrado canalizar la característica central que nos diferencia del resto de las especies: la capacidad de entendimiento mutuo a través del lenguaje, tal como lo plantea Jürgen Habermas en su teoría de la acción comunicativa.</w:t>
      </w:r>
    </w:p>
    <w:p w14:paraId="706E69A7" w14:textId="77777777" w:rsidR="00D20104" w:rsidRPr="00D20104" w:rsidRDefault="00D20104" w:rsidP="00D20104">
      <w:pPr>
        <w:rPr>
          <w:lang w:val="es-ES"/>
        </w:rPr>
      </w:pPr>
      <w:r w:rsidRPr="00D20104">
        <w:rPr>
          <w:lang w:val="es-ES"/>
        </w:rPr>
        <w:t xml:space="preserve">Ahora bien, ¿qué relación converge entre la racionalización, el cálculo y el término que aquí conceptualizo como </w:t>
      </w:r>
      <w:r w:rsidRPr="00D20104">
        <w:rPr>
          <w:i/>
          <w:iCs/>
          <w:lang w:val="es-ES"/>
        </w:rPr>
        <w:t>frivolidad identitaria</w:t>
      </w:r>
      <w:r w:rsidRPr="00D20104">
        <w:rPr>
          <w:lang w:val="es-ES"/>
        </w:rPr>
        <w:t>?</w:t>
      </w:r>
      <w:r w:rsidRPr="00D20104">
        <w:rPr>
          <w:lang w:val="es-ES"/>
        </w:rPr>
        <w:br/>
        <w:t xml:space="preserve">Cualquiera sea la forma de pensar el capitalismo, y más allá de la elección teórica y experimental sobre su funcionamiento, no podemos desconocer que la obtención de resultados y el cálculo han sido protagonistas y se han acentuado mediante el acompañamiento no solo de las ciencias exactas o naturales mediante sus metodologías de observación, sino también de la cultura, el arte, la política, la filosofía, la sociología, la economía o el deporte. Todas ellas han contribuido a consolidar una lógica en la que la realización del individuo se mide a través de logros cuantificables, enumerados y calificados bajo parámetros racionalizados. Con el paso del tiempo se ha recurrido sistemáticamente a técnicas que fundamentan la acción a partir de su consecuencia, sin detenerse en su intención ni en su orientación. Los modelos de cálculo se han filtrado, como el agua, en todos los espacios, de manera tal que las ambiciones —según su </w:t>
      </w:r>
      <w:r w:rsidRPr="00D20104">
        <w:rPr>
          <w:lang w:val="es-ES"/>
        </w:rPr>
        <w:lastRenderedPageBreak/>
        <w:t>alcance y su volumen de capital económico, social, cultural, político o simbólico— han terminado por modelar la forma de vida de las personas.</w:t>
      </w:r>
    </w:p>
    <w:p w14:paraId="56D813F8" w14:textId="77777777" w:rsidR="00D20104" w:rsidRPr="00D20104" w:rsidRDefault="00D20104" w:rsidP="00D20104">
      <w:pPr>
        <w:rPr>
          <w:lang w:val="es-ES"/>
        </w:rPr>
      </w:pPr>
      <w:r w:rsidRPr="00D20104">
        <w:rPr>
          <w:lang w:val="es-ES"/>
        </w:rPr>
        <w:t>Retomando a Weber, su definición de acción social coloca en el centro la conducta humana dotada de un sentido subjetivo orientado hacia la conducta de otros, consolidando la comprensión de la acción como clave de sus estudios. Si trasladamos esta noción de acción social al presente —tecnificado, digitalizado y atravesado por relaciones que trascienden la interacción física— advertimos una transformación: el sentido de la acción se ve permeado por el lenguaje de algoritmos y plataformas, intensificado aún más por la irrupción de la inteligencia artificial. Esto permite pensar que aquel sentido que otorgaba identidad a los sujetos se bifurcó, abriendo paso a un nuevo modo de comprender la acción, cuya lógica se articula en torno al concepto de alcance.</w:t>
      </w:r>
    </w:p>
    <w:p w14:paraId="3A82E4F0" w14:textId="77777777" w:rsidR="00D20104" w:rsidRPr="00D20104" w:rsidRDefault="00D20104" w:rsidP="00D20104">
      <w:pPr>
        <w:rPr>
          <w:lang w:val="es-ES"/>
        </w:rPr>
      </w:pPr>
      <w:r w:rsidRPr="00D20104">
        <w:rPr>
          <w:lang w:val="es-ES"/>
        </w:rPr>
        <w:t>Anthony Giddens, autor clave en el análisis de la sociedad posmoderna, sostiene que los parámetros actuales del capitalismo han subordinado a la política y al Estado. El desarrollo de nuevas tecnologías de comunicación permite vivir en un espacio-tiempo que trasciende los límites conocidos y habilita un proceso de globalización económica, política y cultural originado en lo local. El paradigma multicultural de la asimilación fue reemplazado por uno de inclusión social y cultural, que colocó al cuerpo no solo como elemento de reproducción, sino como componente central de la identidad. A la par, la revolución del trabajo desplazó la primacía de la mano de obra hacia el conocimiento y el valor de cambio.</w:t>
      </w:r>
    </w:p>
    <w:p w14:paraId="4A95AED8" w14:textId="77777777" w:rsidR="00D20104" w:rsidRPr="00D20104" w:rsidRDefault="00D20104" w:rsidP="00D20104">
      <w:pPr>
        <w:rPr>
          <w:lang w:val="es-ES"/>
        </w:rPr>
      </w:pPr>
      <w:r w:rsidRPr="00D20104">
        <w:rPr>
          <w:lang w:val="es-ES"/>
        </w:rPr>
        <w:t>Giddens explica estos cambios en la subjetividad individual a partir de tres elementos: la separación espacio-tiempo, en un mapa global sin privilegios de lugar donde las zonas horarias están estandarizadas; la diferenciación de las instituciones sociales, que descontextualizan las relaciones de sus espacios locales y las trasladan a indeterminaciones espacio-temporales; y la reflexividad institucional, entendida como el uso sistemático del conocimiento sobre las circunstancias de la vida social, constitutivo de su organización y transformación. En este marco, los sujetos posmodernos conciben sus vidas en futuros reflexivamente organizados, diseñando una identidad propia en un escenario de riesgos locales y globales, donde su narrativa se encuentra descontextualizada de lo colectivo, de la naturaleza y de la normativa tradicional del modernismo.</w:t>
      </w:r>
    </w:p>
    <w:p w14:paraId="6B615E45" w14:textId="77777777" w:rsidR="00D20104" w:rsidRPr="00D20104" w:rsidRDefault="00D20104" w:rsidP="00D20104">
      <w:pPr>
        <w:rPr>
          <w:lang w:val="es-ES"/>
        </w:rPr>
      </w:pPr>
      <w:r w:rsidRPr="00D20104">
        <w:rPr>
          <w:lang w:val="es-ES"/>
        </w:rPr>
        <w:t xml:space="preserve">La seguridad ontológica del “yo”, el intento de paliar la ansiedad existencial y de construir un sentido, se sostiene —según Giddens— en la producción de rutinas que constituyen la autoidentidad. Esta, a su vez, se estructura en tres segregaciones: la naturaleza se externaliza respecto de la experiencia personal; la reproducción se disocia de la sexualidad, bajo el control humano sobre la natalidad; y la muerte pasa a ser una decisión regulada desde fuera. Estas transformaciones se inscriben en una lógica histórica y en una exigencia de racionalidad </w:t>
      </w:r>
      <w:r w:rsidRPr="00D20104">
        <w:rPr>
          <w:lang w:val="es-ES"/>
        </w:rPr>
        <w:lastRenderedPageBreak/>
        <w:t>personal y social, donde instituciones como la educación, el trabajo o la movilidad refuerzan el individualismo bajo narrativas internalizadas en el inconsciente colectivo.</w:t>
      </w:r>
    </w:p>
    <w:p w14:paraId="116A7A0D" w14:textId="77777777" w:rsidR="00D20104" w:rsidRPr="00D20104" w:rsidRDefault="00D20104" w:rsidP="00D20104">
      <w:pPr>
        <w:rPr>
          <w:lang w:val="es-ES"/>
        </w:rPr>
      </w:pPr>
      <w:r w:rsidRPr="00D20104">
        <w:rPr>
          <w:lang w:val="es-ES"/>
        </w:rPr>
        <w:t>Si tomamos en cuenta esta lectura de Giddens, podemos aproximarnos a pensar un modelo virtual de la acción, en el cual los dispositivos tecnológicos ya no son simples mediadores, sino organizadores del sentido mismo de la acción social. En este terreno aparece la frivolidad identitaria, expresión de una identidad moldeada por algoritmos, cuantificada en métricas y validada en el reconocimiento externo, que convierte la búsqueda de autenticidad en la comodidad de lo ajeno. La interfaz de los primeros blogs, y desde allí hacia la constitución de una red ilimitada de conexiones, perforó al sujeto en tanto acción corpórea, en un acto que podría denominarse tendenciosamente “minimalista”, donde en la palma de la mano se ejerce la extensión neuronal de la acción comandada por el cerebro, en un flujo activo y reactivo, que permite una sociedad inquebrantable entre el “yo” físico y el “yo” virtual. El sujeto social ha optimizado algo que oscila entre un alter ego y un personaje de fantasía, sometido a la dependencia de las reformulaciones de la acción comunicativa y al “eje descentralizado” que acompaña dicha acción. El modelo virtual de la acción contiene per se un conflicto respecto de la identidad tradicional, puesto que cualquiera sea la intención identitaria, esta se ve obligada a canalizarse por fuera de la conformación corpórea, en la medida en que el consumo de información se multiplica y al mismo tiempo se concentra en la posibilidad de una pantalla, mediante diversas y probablemente automatizadas y dinámicas formas de recepción. Podríamos considerar que, en el pasado reciente, la función legitimadora de información que cumplían la radio, y luego la televisión, en concordancia con el rol ya establecido del papel prensa, conformaba una tríada que afirmaba la noción globalizante del mundo posmoderno, y la tenue aparición de internet asomaba como un cuarto complemento de aquella consolidación. Sin embargo, no es menor observar que, en tanto la radio, la TV, el diario y el primer internet complementaban el sesgo informativo con el estímulo de la connivencia hacia un público tendiente a la credulidad, y mediante diversas técnicas de atracción comunicativa, los sujetos podían hasta entonces disponer de la relación fisiológica para estimular sus realidades y/o ficciones, aseverar o desmentir sus conformaciones idealistas, sus lógicas de vida, y sea cual fuere el fin de ello, construir una identidad a partir del control hegemónico de sus encuentros. Pensemos en una familia oyendo la radio en los años 30, otra haciendo lo propio en los 70 y 80 con la TV, la computadora de escritorio en el comedor familiar, compartida por la familia, los aparatos de música que inspiraron a grupos de amigos, las noches de películas, y cómo todo ello se ha ido reduciendo a la palma de una mano, de un individuo, de un solo sujeto, que obtiene todo lo anterior en la entereza de su individualidad.</w:t>
      </w:r>
    </w:p>
    <w:p w14:paraId="3CD8F74D" w14:textId="77777777" w:rsidR="00D20104" w:rsidRPr="00D20104" w:rsidRDefault="00D20104" w:rsidP="00D20104">
      <w:pPr>
        <w:rPr>
          <w:lang w:val="es-ES"/>
        </w:rPr>
      </w:pPr>
      <w:r w:rsidRPr="00D20104">
        <w:rPr>
          <w:lang w:val="es-ES"/>
        </w:rPr>
        <w:t xml:space="preserve">Relacionar aquello con lo primero —la obtención de resultados, la dinámica de los logros, la cuantificación de las experiencias— es la parte concluyente para arbitrar sobre la frivolidad identitaria. Pensando en un ser humano que recibe información en reciprocidad con sus </w:t>
      </w:r>
      <w:r w:rsidRPr="00D20104">
        <w:rPr>
          <w:lang w:val="es-ES"/>
        </w:rPr>
        <w:lastRenderedPageBreak/>
        <w:t xml:space="preserve">estímulos, busca constituirse incentivado por lo que una publicación le otorga, y construye así una identidad que apenas se salpica de una realidad encriptada, evocando conjeturas que parecen personalizadas y que aproximan al sujeto a la identificación, en tanto resuelven sus inquietudes mediante la acción virtual. Un entorno que recibe y devuelve una identidad clasificada, jerarquizada, que optimiza una realidad cuantificable —de alcance—, la cual interpreta necesidades inmediatas que denomino </w:t>
      </w:r>
      <w:r w:rsidRPr="00D20104">
        <w:rPr>
          <w:i/>
          <w:iCs/>
          <w:lang w:val="es-ES"/>
        </w:rPr>
        <w:t>auxiliares</w:t>
      </w:r>
      <w:r w:rsidRPr="00D20104">
        <w:rPr>
          <w:lang w:val="es-ES"/>
        </w:rPr>
        <w:t>, pues resuelven impulsos y desestiman procesos. Funcionales a los aparatos de construcción de realidades divergentes, convencen al individuo de una verdad que cabe en la palma de su mano. La frivolidad se presenta en cualquier modo en que las plataformas establezcan su dinámica, con mayor vehemencia o con solemnidad si el caso refiere a sitios y apps de búsqueda de desarrollo profesional. En tanto el sujeto construye su identidad, esta le permite aquella distancia corpórea para interpretar, incluso a su salud, de qué se compone la verdad. No obstante, y para finalizar, este escrito no pretende alejarse de la búsqueda de la verdad en la idea de la pérdida de la convicción —la cual, por defecto, contiene una búsqueda primigenia de consenso humanitario—, pero sí interferir en la noción establecida de la segmentación individual a partir del desencuentro y de la ausencia de intercambio fisiológico. Allí donde acontece la intermediación de la acción, no basta un simple comentario reactivo dentro de una publicación que presume un alcance cuantificable. Allí el tono explica el devenir del dicho, los gestos expresan la intención que lo sustenta, y, aun en el disenso, configuran la realidad de aquel sujeto. Allí el sujeto tiene una identidad real, y no una frivolidad identitaria.</w:t>
      </w:r>
    </w:p>
    <w:p w14:paraId="64C3B142" w14:textId="6EF7DEB5" w:rsidR="00734A12" w:rsidRPr="00D20104" w:rsidRDefault="00734A12" w:rsidP="00D20104">
      <w:pPr>
        <w:rPr>
          <w:lang w:val="es-ES"/>
        </w:rPr>
      </w:pPr>
    </w:p>
    <w:sectPr w:rsidR="00734A12" w:rsidRPr="00D20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E6"/>
    <w:rsid w:val="00053FE6"/>
    <w:rsid w:val="00081F56"/>
    <w:rsid w:val="00201F8E"/>
    <w:rsid w:val="003B7BAD"/>
    <w:rsid w:val="004E0888"/>
    <w:rsid w:val="005C521F"/>
    <w:rsid w:val="00653DC9"/>
    <w:rsid w:val="006A18C6"/>
    <w:rsid w:val="00734A12"/>
    <w:rsid w:val="007B068D"/>
    <w:rsid w:val="00822509"/>
    <w:rsid w:val="00930221"/>
    <w:rsid w:val="00BC6869"/>
    <w:rsid w:val="00BF1287"/>
    <w:rsid w:val="00CC4249"/>
    <w:rsid w:val="00CF220E"/>
    <w:rsid w:val="00D20104"/>
    <w:rsid w:val="00DB090A"/>
    <w:rsid w:val="00DE7F5B"/>
    <w:rsid w:val="00DF32DC"/>
    <w:rsid w:val="00E17015"/>
    <w:rsid w:val="00E546AA"/>
    <w:rsid w:val="00EC0BFF"/>
    <w:rsid w:val="00F62E4E"/>
    <w:rsid w:val="00F94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7E86D"/>
  <w15:chartTrackingRefBased/>
  <w15:docId w15:val="{40ABBC7E-F97C-41C5-AD5A-58B386DA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FE6"/>
  </w:style>
  <w:style w:type="paragraph" w:styleId="Ttulo1">
    <w:name w:val="heading 1"/>
    <w:basedOn w:val="Normal"/>
    <w:next w:val="Normal"/>
    <w:link w:val="Ttulo1Car"/>
    <w:uiPriority w:val="9"/>
    <w:qFormat/>
    <w:rsid w:val="00053F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53F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53FE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53FE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53FE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53FE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53FE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53FE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53FE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3FE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53FE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53FE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53FE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53FE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53FE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53FE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53FE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53FE6"/>
    <w:rPr>
      <w:rFonts w:eastAsiaTheme="majorEastAsia" w:cstheme="majorBidi"/>
      <w:color w:val="272727" w:themeColor="text1" w:themeTint="D8"/>
    </w:rPr>
  </w:style>
  <w:style w:type="paragraph" w:styleId="Ttulo">
    <w:name w:val="Title"/>
    <w:basedOn w:val="Normal"/>
    <w:next w:val="Normal"/>
    <w:link w:val="TtuloCar"/>
    <w:uiPriority w:val="10"/>
    <w:qFormat/>
    <w:rsid w:val="00053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53FE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53FE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53F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53FE6"/>
    <w:pPr>
      <w:spacing w:before="160"/>
      <w:jc w:val="center"/>
    </w:pPr>
    <w:rPr>
      <w:i/>
      <w:iCs/>
      <w:color w:val="404040" w:themeColor="text1" w:themeTint="BF"/>
    </w:rPr>
  </w:style>
  <w:style w:type="character" w:customStyle="1" w:styleId="CitaCar">
    <w:name w:val="Cita Car"/>
    <w:basedOn w:val="Fuentedeprrafopredeter"/>
    <w:link w:val="Cita"/>
    <w:uiPriority w:val="29"/>
    <w:rsid w:val="00053FE6"/>
    <w:rPr>
      <w:i/>
      <w:iCs/>
      <w:color w:val="404040" w:themeColor="text1" w:themeTint="BF"/>
    </w:rPr>
  </w:style>
  <w:style w:type="paragraph" w:styleId="Prrafodelista">
    <w:name w:val="List Paragraph"/>
    <w:basedOn w:val="Normal"/>
    <w:uiPriority w:val="34"/>
    <w:qFormat/>
    <w:rsid w:val="00053FE6"/>
    <w:pPr>
      <w:ind w:left="720"/>
      <w:contextualSpacing/>
    </w:pPr>
  </w:style>
  <w:style w:type="character" w:styleId="nfasisintenso">
    <w:name w:val="Intense Emphasis"/>
    <w:basedOn w:val="Fuentedeprrafopredeter"/>
    <w:uiPriority w:val="21"/>
    <w:qFormat/>
    <w:rsid w:val="00053FE6"/>
    <w:rPr>
      <w:i/>
      <w:iCs/>
      <w:color w:val="2F5496" w:themeColor="accent1" w:themeShade="BF"/>
    </w:rPr>
  </w:style>
  <w:style w:type="paragraph" w:styleId="Citadestacada">
    <w:name w:val="Intense Quote"/>
    <w:basedOn w:val="Normal"/>
    <w:next w:val="Normal"/>
    <w:link w:val="CitadestacadaCar"/>
    <w:uiPriority w:val="30"/>
    <w:qFormat/>
    <w:rsid w:val="00053F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53FE6"/>
    <w:rPr>
      <w:i/>
      <w:iCs/>
      <w:color w:val="2F5496" w:themeColor="accent1" w:themeShade="BF"/>
    </w:rPr>
  </w:style>
  <w:style w:type="character" w:styleId="Referenciaintensa">
    <w:name w:val="Intense Reference"/>
    <w:basedOn w:val="Fuentedeprrafopredeter"/>
    <w:uiPriority w:val="32"/>
    <w:qFormat/>
    <w:rsid w:val="00053F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1</Pages>
  <Words>1690</Words>
  <Characters>9635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abiricha</dc:creator>
  <cp:keywords/>
  <dc:description/>
  <cp:lastModifiedBy>diego abiricha</cp:lastModifiedBy>
  <cp:revision>14</cp:revision>
  <cp:lastPrinted>2025-09-03T15:07:00Z</cp:lastPrinted>
  <dcterms:created xsi:type="dcterms:W3CDTF">2025-09-02T12:01:00Z</dcterms:created>
  <dcterms:modified xsi:type="dcterms:W3CDTF">2025-09-03T18:56:00Z</dcterms:modified>
</cp:coreProperties>
</file>